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aps/>
          <w:color w:val="067A72"/>
          <w:sz w:val="18"/>
          <w:szCs w:val="18"/>
        </w:rPr>
        <w:t xml:space="preserve">Zaviira. Templates</w:t>
      </w:r>
    </w:p>
    <w:p>
      <w:pPr>
        <w:pStyle w:val="Title"/>
        <w:spacing w:after="160"/>
      </w:pPr>
      <w:r>
        <w:rPr>
          <w:rFonts w:ascii="Times New Roman" w:cs="Times New Roman" w:eastAsia="Times New Roman" w:hAnsi="Times New Roman"/>
          <w:sz w:val="44"/>
          <w:szCs w:val="44"/>
        </w:rPr>
        <w:t xml:space="preserve">Written summary for tenants: a template</w:t>
      </w:r>
    </w:p>
    <w:p>
      <w:pPr>
        <w:pBdr>
          <w:left w:val="single" w:color="067A72" w:sz="24" w:space="8"/>
        </w:pBdr>
        <w:shd w:fill="E6F1EF" w:val="clear"/>
        <w:spacing w:before="60" w:after="200" w:line="300"/>
        <w:ind w:left="200"/>
      </w:pPr>
      <w:r>
        <w:rPr>
          <w:rFonts w:ascii="Arial" w:cs="Arial" w:eastAsia="Arial" w:hAnsi="Arial"/>
          <w:b/>
          <w:bCs/>
          <w:sz w:val="22"/>
          <w:szCs w:val="22"/>
        </w:rPr>
        <w:t xml:space="preserve">Template for guidance. Check it with your own legal team before use.</w:t>
      </w:r>
    </w:p>
    <w:p>
      <w:pPr>
        <w:pStyle w:val="Heading2"/>
        <w:keepNext/>
        <w:spacing w:before="280" w:after="120"/>
      </w:pPr>
      <w:r>
        <w:rPr>
          <w:rFonts w:ascii="Times New Roman" w:cs="Times New Roman" w:eastAsia="Times New Roman" w:hAnsi="Times New Roman"/>
          <w:sz w:val="30"/>
          <w:szCs w:val="30"/>
        </w:rPr>
        <w:t xml:space="preserve">What the Regulations require</w:t>
      </w:r>
    </w:p>
    <w:p>
      <w:pPr>
        <w:spacing w:after="120" w:line="300"/>
      </w:pPr>
      <w:r>
        <w:rPr>
          <w:rFonts w:ascii="Arial" w:cs="Arial" w:eastAsia="Arial" w:hAnsi="Arial"/>
          <w:b w:val="false"/>
          <w:bCs w:val="false"/>
          <w:sz w:val="22"/>
          <w:szCs w:val="22"/>
        </w:rPr>
        <w:t xml:space="preserve">This is regulation 9 of the 2025 Regulations, with regulation 10 on how the document may be given.</w:t>
      </w:r>
    </w:p>
    <w:p>
      <w:pPr>
        <w:pStyle w:val="ListParagraph"/>
        <w:numPr>
          <w:ilvl w:val="0"/>
          <w:numId w:val="1"/>
        </w:numPr>
        <w:spacing w:after="80" w:line="300"/>
      </w:pPr>
      <w:r>
        <w:rPr>
          <w:rFonts w:ascii="Arial" w:cs="Arial" w:eastAsia="Arial" w:hAnsi="Arial"/>
          <w:b/>
          <w:bCs/>
          <w:sz w:val="22"/>
          <w:szCs w:val="22"/>
        </w:rPr>
        <w:t xml:space="preserve">When.</w:t>
      </w:r>
      <w:r>
        <w:rPr>
          <w:rFonts w:ascii="Arial" w:cs="Arial" w:eastAsia="Arial" w:hAnsi="Arial"/>
          <w:b w:val="false"/>
          <w:bCs w:val="false"/>
          <w:sz w:val="22"/>
          <w:szCs w:val="22"/>
        </w:rPr>
        <w:t xml:space="preserve"> The landlord must give the document before the end of the period of 3 working days beginning on the day after the day the investigation is completed (regulation 9(2) and (4)). A working day is any day other than a Saturday or Sunday, Christmas Day, Good Friday or a bank holiday in England and Wales (regulation 2).</w:t>
      </w:r>
    </w:p>
    <w:p>
      <w:pPr>
        <w:pStyle w:val="ListParagraph"/>
        <w:numPr>
          <w:ilvl w:val="0"/>
          <w:numId w:val="1"/>
        </w:numPr>
        <w:spacing w:after="80" w:line="300"/>
      </w:pPr>
      <w:r>
        <w:rPr>
          <w:rFonts w:ascii="Arial" w:cs="Arial" w:eastAsia="Arial" w:hAnsi="Arial"/>
          <w:b/>
          <w:bCs/>
          <w:sz w:val="22"/>
          <w:szCs w:val="22"/>
        </w:rPr>
        <w:t xml:space="preserve">When it is not needed.</w:t>
      </w:r>
      <w:r>
        <w:rPr>
          <w:rFonts w:ascii="Arial" w:cs="Arial" w:eastAsia="Arial" w:hAnsi="Arial"/>
          <w:b w:val="false"/>
          <w:bCs w:val="false"/>
          <w:sz w:val="22"/>
          <w:szCs w:val="22"/>
        </w:rPr>
        <w:t xml:space="preserve"> Regulation 9 does not apply if the investigation identified required work and that work is completed before the end of the 3 working days (regulation 9(1)).</w:t>
      </w:r>
    </w:p>
    <w:p>
      <w:pPr>
        <w:pStyle w:val="ListParagraph"/>
        <w:numPr>
          <w:ilvl w:val="0"/>
          <w:numId w:val="1"/>
        </w:numPr>
        <w:spacing w:after="80" w:line="300"/>
      </w:pPr>
      <w:r>
        <w:rPr>
          <w:rFonts w:ascii="Arial" w:cs="Arial" w:eastAsia="Arial" w:hAnsi="Arial"/>
          <w:b/>
          <w:bCs/>
          <w:sz w:val="22"/>
          <w:szCs w:val="22"/>
        </w:rPr>
        <w:t xml:space="preserve">After which investigations.</w:t>
      </w:r>
      <w:r>
        <w:rPr>
          <w:rFonts w:ascii="Arial" w:cs="Arial" w:eastAsia="Arial" w:hAnsi="Arial"/>
          <w:b w:val="false"/>
          <w:bCs w:val="false"/>
          <w:sz w:val="22"/>
          <w:szCs w:val="22"/>
        </w:rPr>
        <w:t xml:space="preserve"> Regulation 9 applies following a relevant investigation, which means an emergency, standard, renewed or further investigation. The statement on whether a hazard was found applies to emergency, standard and renewed investigations (regulation 9(3)(a)).</w:t>
      </w:r>
    </w:p>
    <w:p>
      <w:pPr>
        <w:pStyle w:val="ListParagraph"/>
        <w:numPr>
          <w:ilvl w:val="0"/>
          <w:numId w:val="1"/>
        </w:numPr>
        <w:spacing w:after="80" w:line="300"/>
      </w:pPr>
      <w:r>
        <w:rPr>
          <w:rFonts w:ascii="Arial" w:cs="Arial" w:eastAsia="Arial" w:hAnsi="Arial"/>
          <w:b/>
          <w:bCs/>
          <w:sz w:val="22"/>
          <w:szCs w:val="22"/>
        </w:rPr>
        <w:t xml:space="preserve">How it may be given</w:t>
      </w:r>
      <w:r>
        <w:rPr>
          <w:rFonts w:ascii="Arial" w:cs="Arial" w:eastAsia="Arial" w:hAnsi="Arial"/>
          <w:b w:val="false"/>
          <w:bCs w:val="false"/>
          <w:sz w:val="22"/>
          <w:szCs w:val="22"/>
        </w:rPr>
        <w:t xml:space="preserve"> (regulation 10). By delivering it personally to the tenant; by leaving it at the home; by sending it to the home by first class post, or an equivalent service that provides next day delivery in the majority of cases; or by sending it electronically to an address or number the tenant has given the landlord for communications about the lease or the home. The time it is given is the time it is delivered, left, posted or sent.</w:t>
      </w:r>
    </w:p>
    <w:p>
      <w:pPr>
        <w:pStyle w:val="Heading3"/>
        <w:keepNext/>
        <w:spacing w:before="200" w:after="100"/>
      </w:pPr>
      <w:r>
        <w:rPr>
          <w:rFonts w:ascii="Arial" w:cs="Arial" w:eastAsia="Arial" w:hAnsi="Arial"/>
          <w:b/>
          <w:bCs/>
          <w:sz w:val="24"/>
          <w:szCs w:val="24"/>
        </w:rPr>
        <w:t xml:space="preserve">What the summary must say</w:t>
      </w:r>
    </w:p>
    <w:p>
      <w:pPr>
        <w:spacing w:after="120" w:line="300"/>
      </w:pPr>
      <w:r>
        <w:rPr>
          <w:rFonts w:ascii="Arial" w:cs="Arial" w:eastAsia="Arial" w:hAnsi="Arial"/>
          <w:b w:val="false"/>
          <w:bCs w:val="false"/>
          <w:sz w:val="22"/>
          <w:szCs w:val="22"/>
        </w:rPr>
        <w:t xml:space="preserve">Regulation 9(3) lists four things:</w:t>
      </w:r>
    </w:p>
    <w:p>
      <w:pPr>
        <w:pStyle w:val="ListParagraph"/>
        <w:numPr>
          <w:ilvl w:val="0"/>
          <w:numId w:val="2"/>
        </w:numPr>
        <w:spacing w:after="80" w:line="300"/>
      </w:pPr>
      <w:r>
        <w:rPr>
          <w:rFonts w:ascii="Arial" w:cs="Arial" w:eastAsia="Arial" w:hAnsi="Arial"/>
          <w:b w:val="false"/>
          <w:bCs w:val="false"/>
          <w:sz w:val="22"/>
          <w:szCs w:val="22"/>
        </w:rPr>
        <w:t xml:space="preserve">whether the investigation identified a significant hazard or an emergency hazard, and if so what the hazard is (regulation 9(3)(a));</w:t>
      </w:r>
    </w:p>
    <w:p>
      <w:pPr>
        <w:pStyle w:val="ListParagraph"/>
        <w:numPr>
          <w:ilvl w:val="0"/>
          <w:numId w:val="2"/>
        </w:numPr>
        <w:spacing w:after="80" w:line="300"/>
      </w:pPr>
      <w:r>
        <w:rPr>
          <w:rFonts w:ascii="Arial" w:cs="Arial" w:eastAsia="Arial" w:hAnsi="Arial"/>
          <w:b w:val="false"/>
          <w:bCs w:val="false"/>
          <w:sz w:val="22"/>
          <w:szCs w:val="22"/>
        </w:rPr>
        <w:t xml:space="preserve">where further action is required under the Regulations, what that action is, and a target timescale for beginning and completing it (regulation 9(3)(b));</w:t>
      </w:r>
    </w:p>
    <w:p>
      <w:pPr>
        <w:pStyle w:val="ListParagraph"/>
        <w:numPr>
          <w:ilvl w:val="0"/>
          <w:numId w:val="2"/>
        </w:numPr>
        <w:spacing w:after="80" w:line="300"/>
      </w:pPr>
      <w:r>
        <w:rPr>
          <w:rFonts w:ascii="Arial" w:cs="Arial" w:eastAsia="Arial" w:hAnsi="Arial"/>
          <w:b w:val="false"/>
          <w:bCs w:val="false"/>
          <w:sz w:val="22"/>
          <w:szCs w:val="22"/>
        </w:rPr>
        <w:t xml:space="preserve">where no further action is required under the Regulations, that this is so, and the reasons why (regulation 9(3)(c));</w:t>
      </w:r>
    </w:p>
    <w:p>
      <w:pPr>
        <w:pStyle w:val="ListParagraph"/>
        <w:numPr>
          <w:ilvl w:val="0"/>
          <w:numId w:val="2"/>
        </w:numPr>
        <w:spacing w:after="80" w:line="300"/>
      </w:pPr>
      <w:r>
        <w:rPr>
          <w:rFonts w:ascii="Arial" w:cs="Arial" w:eastAsia="Arial" w:hAnsi="Arial"/>
          <w:b w:val="false"/>
          <w:bCs w:val="false"/>
          <w:sz w:val="22"/>
          <w:szCs w:val="22"/>
        </w:rPr>
        <w:t xml:space="preserve">information about how the tenant may contact the landlord (regulation 9(3)(d)).</w:t>
      </w:r>
    </w:p>
    <w:p>
      <w:pPr>
        <w:spacing w:after="120" w:line="300"/>
      </w:pPr>
      <w:r>
        <w:rPr>
          <w:rFonts w:ascii="Arial" w:cs="Arial" w:eastAsia="Arial" w:hAnsi="Arial"/>
          <w:b w:val="false"/>
          <w:bCs w:val="false"/>
          <w:sz w:val="22"/>
          <w:szCs w:val="22"/>
        </w:rPr>
        <w:t xml:space="preserve">The consolidated Regulations that GOV.UK says will apply from 30 November 2026, if the amending Regulations are made, set out regulations 9 and 10 in the same words. Phase 2 is due to start on 30 November 2026, subject to the Regulations being made.</w:t>
      </w:r>
    </w:p>
    <w:p>
      <w:pPr>
        <w:pStyle w:val="Heading2"/>
        <w:keepNext/>
        <w:spacing w:before="280" w:after="120"/>
      </w:pPr>
      <w:r>
        <w:rPr>
          <w:rFonts w:ascii="Times New Roman" w:cs="Times New Roman" w:eastAsia="Times New Roman" w:hAnsi="Times New Roman"/>
          <w:sz w:val="30"/>
          <w:szCs w:val="30"/>
        </w:rPr>
        <w:t xml:space="preserve">How to use the template</w:t>
      </w:r>
    </w:p>
    <w:p>
      <w:pPr>
        <w:pStyle w:val="ListParagraph"/>
        <w:numPr>
          <w:ilvl w:val="0"/>
          <w:numId w:val="1"/>
        </w:numPr>
        <w:spacing w:after="80" w:line="300"/>
      </w:pPr>
      <w:r>
        <w:rPr>
          <w:rFonts w:ascii="Arial" w:cs="Arial" w:eastAsia="Arial" w:hAnsi="Arial"/>
          <w:b w:val="false"/>
          <w:bCs w:val="false"/>
          <w:sz w:val="22"/>
          <w:szCs w:val="22"/>
        </w:rPr>
        <w:t xml:space="preserve">Replace each highlighted [placeholder]. Delete the sections or options that do not apply.</w:t>
      </w:r>
    </w:p>
    <w:p>
      <w:pPr>
        <w:pStyle w:val="ListParagraph"/>
        <w:numPr>
          <w:ilvl w:val="0"/>
          <w:numId w:val="1"/>
        </w:numPr>
        <w:spacing w:after="80" w:line="300"/>
      </w:pPr>
      <w:r>
        <w:rPr>
          <w:rFonts w:ascii="Arial" w:cs="Arial" w:eastAsia="Arial" w:hAnsi="Arial"/>
          <w:b w:val="false"/>
          <w:bCs w:val="false"/>
          <w:sz w:val="22"/>
          <w:szCs w:val="22"/>
        </w:rPr>
        <w:t xml:space="preserve">Use C1 or C2 in section 3, not both.</w:t>
      </w:r>
    </w:p>
    <w:p>
      <w:pPr>
        <w:pStyle w:val="ListParagraph"/>
        <w:numPr>
          <w:ilvl w:val="0"/>
          <w:numId w:val="1"/>
        </w:numPr>
        <w:spacing w:after="80" w:line="300"/>
      </w:pPr>
      <w:r>
        <w:rPr>
          <w:rFonts w:ascii="Arial" w:cs="Arial" w:eastAsia="Arial" w:hAnsi="Arial"/>
          <w:b w:val="false"/>
          <w:bCs w:val="false"/>
          <w:sz w:val="22"/>
          <w:szCs w:val="22"/>
        </w:rPr>
        <w:t xml:space="preserve">Write for the tenant. Short sentences and plain words are easier to follow than legal terms.</w:t>
      </w:r>
    </w:p>
    <w:p>
      <w:pPr>
        <w:pStyle w:val="ListParagraph"/>
        <w:numPr>
          <w:ilvl w:val="0"/>
          <w:numId w:val="1"/>
        </w:numPr>
        <w:spacing w:after="80" w:line="300"/>
      </w:pPr>
      <w:r>
        <w:rPr>
          <w:rFonts w:ascii="Arial" w:cs="Arial" w:eastAsia="Arial" w:hAnsi="Arial"/>
          <w:b w:val="false"/>
          <w:bCs w:val="false"/>
          <w:sz w:val="22"/>
          <w:szCs w:val="22"/>
        </w:rPr>
        <w:t xml:space="preserve">Keep a copy, and record when and how you gave it. Regulation 10 treats the document as given when it is delivered, left, posted or sent.</w:t>
      </w:r>
    </w:p>
    <w:p>
      <w:pPr>
        <w:pStyle w:val="Heading2"/>
        <w:keepNext/>
        <w:spacing w:before="280" w:after="120"/>
      </w:pPr>
      <w:r>
        <w:rPr>
          <w:rFonts w:ascii="Times New Roman" w:cs="Times New Roman" w:eastAsia="Times New Roman" w:hAnsi="Times New Roman"/>
          <w:sz w:val="30"/>
          <w:szCs w:val="30"/>
        </w:rPr>
        <w:t xml:space="preserve">The template</w:t>
      </w:r>
    </w:p>
    <w:p>
      <w:pPr>
        <w:keepNext/>
        <w:pBdr>
          <w:top w:val="single" w:color="CFCABF" w:sz="6" w:space="6"/>
          <w:left w:val="single" w:color="CFCABF" w:sz="6" w:space="8"/>
          <w:right w:val="single" w:color="CFCABF" w:sz="6" w:space="8"/>
        </w:pBdr>
        <w:shd w:fill="F7F5F0" w:val="clear"/>
        <w:spacing w:before="120" w:after="100" w:line="300"/>
        <w:ind w:left="160" w:right="160"/>
      </w:pPr>
      <w:r>
        <w:rPr>
          <w:rFonts w:ascii="Arial" w:cs="Arial" w:eastAsia="Arial" w:hAnsi="Arial"/>
          <w:b/>
          <w:bCs/>
          <w:sz w:val="22"/>
          <w:szCs w:val="22"/>
        </w:rPr>
        <w:t xml:space="preserve">Section 1. Who this is from and who it is for</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i/>
          <w:iCs/>
          <w:sz w:val="22"/>
          <w:szCs w:val="22"/>
        </w:rPr>
        <w:t xml:space="preserve">Not required by regulation 9. It identifies the document.</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highlight w:val="yellow"/>
          <w:highlightCs w:val="yellow"/>
        </w:rPr>
        <w:t xml:space="preserve">[Landlord name]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highlight w:val="yellow"/>
          <w:highlightCs w:val="yellow"/>
        </w:rPr>
        <w:t xml:space="preserve">[Landlord address, telephone number and email]</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Date this summary is given: </w:t>
      </w:r>
      <w:r>
        <w:rPr>
          <w:rFonts w:ascii="Arial" w:cs="Arial" w:eastAsia="Arial" w:hAnsi="Arial"/>
          <w:b w:val="false"/>
          <w:bCs w:val="false"/>
          <w:sz w:val="22"/>
          <w:szCs w:val="22"/>
          <w:highlight w:val="yellow"/>
          <w:highlightCs w:val="yellow"/>
        </w:rPr>
        <w:t xml:space="preserve">[date]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To: </w:t>
      </w:r>
      <w:r>
        <w:rPr>
          <w:rFonts w:ascii="Arial" w:cs="Arial" w:eastAsia="Arial" w:hAnsi="Arial"/>
          <w:b w:val="false"/>
          <w:bCs w:val="false"/>
          <w:sz w:val="22"/>
          <w:szCs w:val="22"/>
          <w:highlight w:val="yellow"/>
          <w:highlightCs w:val="yellow"/>
        </w:rPr>
        <w:t xml:space="preserve">[Tenant name]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Home: </w:t>
      </w:r>
      <w:r>
        <w:rPr>
          <w:rFonts w:ascii="Arial" w:cs="Arial" w:eastAsia="Arial" w:hAnsi="Arial"/>
          <w:b w:val="false"/>
          <w:bCs w:val="false"/>
          <w:sz w:val="22"/>
          <w:szCs w:val="22"/>
          <w:highlight w:val="yellow"/>
          <w:highlightCs w:val="yellow"/>
        </w:rPr>
        <w:t xml:space="preserve">[Address of the home]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Subject: Written summary of our investigation into </w:t>
      </w:r>
      <w:r>
        <w:rPr>
          <w:rFonts w:ascii="Arial" w:cs="Arial" w:eastAsia="Arial" w:hAnsi="Arial"/>
          <w:b w:val="false"/>
          <w:bCs w:val="false"/>
          <w:sz w:val="22"/>
          <w:szCs w:val="22"/>
          <w:highlight w:val="yellow"/>
          <w:highlightCs w:val="yellow"/>
        </w:rPr>
        <w:t xml:space="preserve">[what the tenant reported, in a few words]</w:t>
      </w:r>
    </w:p>
    <w:p>
      <w:pPr>
        <w:keepNext w:val="false"/>
        <w:pBdr>
          <w:bottom w:val="single" w:color="CFCABF" w:sz="6" w:space="6"/>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We completed our investigation on </w:t>
      </w:r>
      <w:r>
        <w:rPr>
          <w:rFonts w:ascii="Arial" w:cs="Arial" w:eastAsia="Arial" w:hAnsi="Arial"/>
          <w:b w:val="false"/>
          <w:bCs w:val="false"/>
          <w:sz w:val="22"/>
          <w:szCs w:val="22"/>
          <w:highlight w:val="yellow"/>
          <w:highlightCs w:val="yellow"/>
        </w:rPr>
        <w:t xml:space="preserve">[date the investigation was completed]</w:t>
      </w:r>
      <w:r>
        <w:rPr>
          <w:rFonts w:ascii="Arial" w:cs="Arial" w:eastAsia="Arial" w:hAnsi="Arial"/>
          <w:b w:val="false"/>
          <w:bCs w:val="false"/>
          <w:sz w:val="22"/>
          <w:szCs w:val="22"/>
        </w:rPr>
        <w:t xml:space="preserve">. This is our written summary.</w:t>
      </w:r>
    </w:p>
    <w:p>
      <w:pPr>
        <w:spacing w:after="160"/>
      </w:pPr>
    </w:p>
    <w:p>
      <w:pPr>
        <w:keepNext/>
        <w:pBdr>
          <w:top w:val="single" w:color="CFCABF" w:sz="6" w:space="6"/>
          <w:left w:val="single" w:color="CFCABF" w:sz="6" w:space="8"/>
          <w:right w:val="single" w:color="CFCABF" w:sz="6" w:space="8"/>
        </w:pBdr>
        <w:shd w:fill="F7F5F0" w:val="clear"/>
        <w:spacing w:before="120" w:after="100" w:line="300"/>
        <w:ind w:left="160" w:right="160"/>
      </w:pPr>
      <w:r>
        <w:rPr>
          <w:rFonts w:ascii="Arial" w:cs="Arial" w:eastAsia="Arial" w:hAnsi="Arial"/>
          <w:b/>
          <w:bCs/>
          <w:sz w:val="22"/>
          <w:szCs w:val="22"/>
        </w:rPr>
        <w:t xml:space="preserve">Section 2. What we found</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i/>
          <w:iCs/>
          <w:sz w:val="22"/>
          <w:szCs w:val="22"/>
        </w:rPr>
        <w:t xml:space="preserve">Answers regulation 9(3)(a): whether the investigation identified a significant hazard or an emergency hazard, and what it is.</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Choose the one that applies and delete the others.</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Option A: Our investigation found a significant hazard affecting your home. The hazard is: </w:t>
      </w:r>
      <w:r>
        <w:rPr>
          <w:rFonts w:ascii="Arial" w:cs="Arial" w:eastAsia="Arial" w:hAnsi="Arial"/>
          <w:b w:val="false"/>
          <w:bCs w:val="false"/>
          <w:sz w:val="22"/>
          <w:szCs w:val="22"/>
          <w:highlight w:val="yellow"/>
          <w:highlightCs w:val="yellow"/>
        </w:rPr>
        <w:t xml:space="preserve">[describe the hazard in plain words, and where it is in the home]</w:t>
      </w:r>
      <w:r>
        <w:rPr>
          <w:rFonts w:ascii="Arial" w:cs="Arial" w:eastAsia="Arial" w:hAnsi="Arial"/>
          <w:b w:val="false"/>
          <w:bCs w:val="false"/>
          <w:sz w:val="22"/>
          <w:szCs w:val="22"/>
        </w:rPr>
        <w:t xml:space="preserv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Option B: Our investigation found an emergency hazard affecting your home. The hazard is: </w:t>
      </w:r>
      <w:r>
        <w:rPr>
          <w:rFonts w:ascii="Arial" w:cs="Arial" w:eastAsia="Arial" w:hAnsi="Arial"/>
          <w:b w:val="false"/>
          <w:bCs w:val="false"/>
          <w:sz w:val="22"/>
          <w:szCs w:val="22"/>
          <w:highlight w:val="yellow"/>
          <w:highlightCs w:val="yellow"/>
        </w:rPr>
        <w:t xml:space="preserve">[describe the hazard in plain words, and where it is in the home]</w:t>
      </w:r>
      <w:r>
        <w:rPr>
          <w:rFonts w:ascii="Arial" w:cs="Arial" w:eastAsia="Arial" w:hAnsi="Arial"/>
          <w:b w:val="false"/>
          <w:bCs w:val="false"/>
          <w:sz w:val="22"/>
          <w:szCs w:val="22"/>
        </w:rPr>
        <w:t xml:space="preserve">.</w:t>
      </w:r>
    </w:p>
    <w:p>
      <w:pPr>
        <w:keepNext w:val="false"/>
        <w:pBdr>
          <w:bottom w:val="single" w:color="CFCABF" w:sz="6" w:space="6"/>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Option C: Our investigation did not find a significant hazard or an emergency hazard affecting your home.</w:t>
      </w:r>
    </w:p>
    <w:p>
      <w:pPr>
        <w:spacing w:after="160"/>
      </w:pPr>
    </w:p>
    <w:p>
      <w:pPr>
        <w:keepNext/>
        <w:pBdr>
          <w:top w:val="single" w:color="CFCABF" w:sz="6" w:space="6"/>
          <w:left w:val="single" w:color="CFCABF" w:sz="6" w:space="8"/>
          <w:right w:val="single" w:color="CFCABF" w:sz="6" w:space="8"/>
        </w:pBdr>
        <w:shd w:fill="F7F5F0" w:val="clear"/>
        <w:spacing w:before="120" w:after="100" w:line="300"/>
        <w:ind w:left="160" w:right="160"/>
      </w:pPr>
      <w:r>
        <w:rPr>
          <w:rFonts w:ascii="Arial" w:cs="Arial" w:eastAsia="Arial" w:hAnsi="Arial"/>
          <w:b/>
          <w:bCs/>
          <w:sz w:val="22"/>
          <w:szCs w:val="22"/>
        </w:rPr>
        <w:t xml:space="preserve">Section 3. What happens next</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i/>
          <w:iCs/>
          <w:sz w:val="22"/>
          <w:szCs w:val="22"/>
        </w:rPr>
        <w:t xml:space="preserve">Answers regulation 9(3)(b) or regulation 9(3)(c). Use C1 where further action is required. Use C2 where it is not.</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C1: We need to take the following action under the Awaab’s Law Regulations: </w:t>
      </w:r>
      <w:r>
        <w:rPr>
          <w:rFonts w:ascii="Arial" w:cs="Arial" w:eastAsia="Arial" w:hAnsi="Arial"/>
          <w:b w:val="false"/>
          <w:bCs w:val="false"/>
          <w:sz w:val="22"/>
          <w:szCs w:val="22"/>
          <w:highlight w:val="yellow"/>
          <w:highlightCs w:val="yellow"/>
        </w:rPr>
        <w:t xml:space="preserve">[describe the action]</w:t>
      </w:r>
      <w:r>
        <w:rPr>
          <w:rFonts w:ascii="Arial" w:cs="Arial" w:eastAsia="Arial" w:hAnsi="Arial"/>
          <w:b w:val="false"/>
          <w:bCs w:val="false"/>
          <w:sz w:val="22"/>
          <w:szCs w:val="22"/>
        </w:rPr>
        <w:t xml:space="preserve">. We aim to begin it by </w:t>
      </w:r>
      <w:r>
        <w:rPr>
          <w:rFonts w:ascii="Arial" w:cs="Arial" w:eastAsia="Arial" w:hAnsi="Arial"/>
          <w:b w:val="false"/>
          <w:bCs w:val="false"/>
          <w:sz w:val="22"/>
          <w:szCs w:val="22"/>
          <w:highlight w:val="yellow"/>
          <w:highlightCs w:val="yellow"/>
        </w:rPr>
        <w:t xml:space="preserve">[target date or timescale]</w:t>
      </w:r>
      <w:r>
        <w:rPr>
          <w:rFonts w:ascii="Arial" w:cs="Arial" w:eastAsia="Arial" w:hAnsi="Arial"/>
          <w:b w:val="false"/>
          <w:bCs w:val="false"/>
          <w:sz w:val="22"/>
          <w:szCs w:val="22"/>
        </w:rPr>
        <w:t xml:space="preserve">. We aim to complete it by </w:t>
      </w:r>
      <w:r>
        <w:rPr>
          <w:rFonts w:ascii="Arial" w:cs="Arial" w:eastAsia="Arial" w:hAnsi="Arial"/>
          <w:b w:val="false"/>
          <w:bCs w:val="false"/>
          <w:sz w:val="22"/>
          <w:szCs w:val="22"/>
          <w:highlight w:val="yellow"/>
          <w:highlightCs w:val="yellow"/>
        </w:rPr>
        <w:t xml:space="preserve">[target date or timescale]</w:t>
      </w:r>
      <w:r>
        <w:rPr>
          <w:rFonts w:ascii="Arial" w:cs="Arial" w:eastAsia="Arial" w:hAnsi="Arial"/>
          <w:b w:val="false"/>
          <w:bCs w:val="false"/>
          <w:sz w:val="22"/>
          <w:szCs w:val="22"/>
        </w:rPr>
        <w:t xml:space="preserve">.</w:t>
      </w:r>
    </w:p>
    <w:p>
      <w:pPr>
        <w:keepNext w:val="false"/>
        <w:pBdr>
          <w:bottom w:val="single" w:color="CFCABF" w:sz="6" w:space="6"/>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C2: No further action is required under the Awaab’s Law Regulations. The reasons are: </w:t>
      </w:r>
      <w:r>
        <w:rPr>
          <w:rFonts w:ascii="Arial" w:cs="Arial" w:eastAsia="Arial" w:hAnsi="Arial"/>
          <w:b w:val="false"/>
          <w:bCs w:val="false"/>
          <w:sz w:val="22"/>
          <w:szCs w:val="22"/>
          <w:highlight w:val="yellow"/>
          <w:highlightCs w:val="yellow"/>
        </w:rPr>
        <w:t xml:space="preserve">[state the reasons]</w:t>
      </w:r>
      <w:r>
        <w:rPr>
          <w:rFonts w:ascii="Arial" w:cs="Arial" w:eastAsia="Arial" w:hAnsi="Arial"/>
          <w:b w:val="false"/>
          <w:bCs w:val="false"/>
          <w:sz w:val="22"/>
          <w:szCs w:val="22"/>
        </w:rPr>
        <w:t xml:space="preserve">.</w:t>
      </w:r>
    </w:p>
    <w:p>
      <w:pPr>
        <w:spacing w:after="160"/>
      </w:pPr>
    </w:p>
    <w:p>
      <w:pPr>
        <w:keepNext/>
        <w:pBdr>
          <w:top w:val="single" w:color="CFCABF" w:sz="6" w:space="6"/>
          <w:left w:val="single" w:color="CFCABF" w:sz="6" w:space="8"/>
          <w:right w:val="single" w:color="CFCABF" w:sz="6" w:space="8"/>
        </w:pBdr>
        <w:shd w:fill="F7F5F0" w:val="clear"/>
        <w:spacing w:before="120" w:after="100" w:line="300"/>
        <w:ind w:left="160" w:right="160"/>
      </w:pPr>
      <w:r>
        <w:rPr>
          <w:rFonts w:ascii="Arial" w:cs="Arial" w:eastAsia="Arial" w:hAnsi="Arial"/>
          <w:b/>
          <w:bCs/>
          <w:sz w:val="22"/>
          <w:szCs w:val="22"/>
        </w:rPr>
        <w:t xml:space="preserve">Section 4. How to contact us</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i/>
          <w:iCs/>
          <w:sz w:val="22"/>
          <w:szCs w:val="22"/>
        </w:rPr>
        <w:t xml:space="preserve">Answers regulation 9(3)(d): information about how the tenant may contact the landlord.</w:t>
      </w:r>
    </w:p>
    <w:p>
      <w:pPr>
        <w:keepNext w:val="false"/>
        <w:pBdr>
          <w:bottom w:val="single" w:color="CFCABF" w:sz="6" w:space="6"/>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You can contact us by telephone on </w:t>
      </w:r>
      <w:r>
        <w:rPr>
          <w:rFonts w:ascii="Arial" w:cs="Arial" w:eastAsia="Arial" w:hAnsi="Arial"/>
          <w:b w:val="false"/>
          <w:bCs w:val="false"/>
          <w:sz w:val="22"/>
          <w:szCs w:val="22"/>
          <w:highlight w:val="yellow"/>
          <w:highlightCs w:val="yellow"/>
        </w:rPr>
        <w:t xml:space="preserve">[number]</w:t>
      </w:r>
      <w:r>
        <w:rPr>
          <w:rFonts w:ascii="Arial" w:cs="Arial" w:eastAsia="Arial" w:hAnsi="Arial"/>
          <w:b w:val="false"/>
          <w:bCs w:val="false"/>
          <w:sz w:val="22"/>
          <w:szCs w:val="22"/>
        </w:rPr>
        <w:t xml:space="preserve">, by email at </w:t>
      </w:r>
      <w:r>
        <w:rPr>
          <w:rFonts w:ascii="Arial" w:cs="Arial" w:eastAsia="Arial" w:hAnsi="Arial"/>
          <w:b w:val="false"/>
          <w:bCs w:val="false"/>
          <w:sz w:val="22"/>
          <w:szCs w:val="22"/>
          <w:highlight w:val="yellow"/>
          <w:highlightCs w:val="yellow"/>
        </w:rPr>
        <w:t xml:space="preserve">[email address]</w:t>
      </w:r>
      <w:r>
        <w:rPr>
          <w:rFonts w:ascii="Arial" w:cs="Arial" w:eastAsia="Arial" w:hAnsi="Arial"/>
          <w:b w:val="false"/>
          <w:bCs w:val="false"/>
          <w:sz w:val="22"/>
          <w:szCs w:val="22"/>
        </w:rPr>
        <w:t xml:space="preserve">, or by post at </w:t>
      </w:r>
      <w:r>
        <w:rPr>
          <w:rFonts w:ascii="Arial" w:cs="Arial" w:eastAsia="Arial" w:hAnsi="Arial"/>
          <w:b w:val="false"/>
          <w:bCs w:val="false"/>
          <w:sz w:val="22"/>
          <w:szCs w:val="22"/>
          <w:highlight w:val="yellow"/>
          <w:highlightCs w:val="yellow"/>
        </w:rPr>
        <w:t xml:space="preserve">[address]</w:t>
      </w:r>
      <w:r>
        <w:rPr>
          <w:rFonts w:ascii="Arial" w:cs="Arial" w:eastAsia="Arial" w:hAnsi="Arial"/>
          <w:b w:val="false"/>
          <w:bCs w:val="false"/>
          <w:sz w:val="22"/>
          <w:szCs w:val="22"/>
        </w:rPr>
        <w:t xml:space="preserve">. Our opening hours are </w:t>
      </w:r>
      <w:r>
        <w:rPr>
          <w:rFonts w:ascii="Arial" w:cs="Arial" w:eastAsia="Arial" w:hAnsi="Arial"/>
          <w:b w:val="false"/>
          <w:bCs w:val="false"/>
          <w:sz w:val="22"/>
          <w:szCs w:val="22"/>
          <w:highlight w:val="yellow"/>
          <w:highlightCs w:val="yellow"/>
        </w:rPr>
        <w:t xml:space="preserve">[hours]</w:t>
      </w:r>
      <w:r>
        <w:rPr>
          <w:rFonts w:ascii="Arial" w:cs="Arial" w:eastAsia="Arial" w:hAnsi="Arial"/>
          <w:b w:val="false"/>
          <w:bCs w:val="false"/>
          <w:sz w:val="22"/>
          <w:szCs w:val="22"/>
        </w:rPr>
        <w:t xml:space="preserve">. </w:t>
      </w:r>
      <w:r>
        <w:rPr>
          <w:rFonts w:ascii="Arial" w:cs="Arial" w:eastAsia="Arial" w:hAnsi="Arial"/>
          <w:b w:val="false"/>
          <w:bCs w:val="false"/>
          <w:sz w:val="22"/>
          <w:szCs w:val="22"/>
          <w:highlight w:val="yellow"/>
          <w:highlightCs w:val="yellow"/>
        </w:rPr>
        <w:t xml:space="preserve">[Any out of hours number for urgent problems]</w:t>
      </w:r>
      <w:r>
        <w:rPr>
          <w:rFonts w:ascii="Arial" w:cs="Arial" w:eastAsia="Arial" w:hAnsi="Arial"/>
          <w:b w:val="false"/>
          <w:bCs w:val="false"/>
          <w:sz w:val="22"/>
          <w:szCs w:val="22"/>
        </w:rPr>
        <w:t xml:space="preserve">.</w:t>
      </w:r>
    </w:p>
    <w:p>
      <w:pPr>
        <w:spacing w:after="160"/>
      </w:pPr>
    </w:p>
    <w:p>
      <w:pPr>
        <w:keepNext/>
        <w:pBdr>
          <w:top w:val="single" w:color="CFCABF" w:sz="6" w:space="6"/>
          <w:left w:val="single" w:color="CFCABF" w:sz="6" w:space="8"/>
          <w:right w:val="single" w:color="CFCABF" w:sz="6" w:space="8"/>
        </w:pBdr>
        <w:shd w:fill="F7F5F0" w:val="clear"/>
        <w:spacing w:before="120" w:after="100" w:line="300"/>
        <w:ind w:left="160" w:right="160"/>
      </w:pPr>
      <w:r>
        <w:rPr>
          <w:rFonts w:ascii="Arial" w:cs="Arial" w:eastAsia="Arial" w:hAnsi="Arial"/>
          <w:b/>
          <w:bCs/>
          <w:sz w:val="22"/>
          <w:szCs w:val="22"/>
        </w:rPr>
        <w:t xml:space="preserve">Section 5. How we are giving you this summary</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i/>
          <w:iCs/>
          <w:sz w:val="22"/>
          <w:szCs w:val="22"/>
        </w:rPr>
        <w:t xml:space="preserve">Not required by regulation 9. Regulation 10 lists the ways a document may be given. Record the one you used.</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We are giving you this summary by: </w:t>
      </w:r>
      <w:r>
        <w:rPr>
          <w:rFonts w:ascii="Arial" w:cs="Arial" w:eastAsia="Arial" w:hAnsi="Arial"/>
          <w:b w:val="false"/>
          <w:bCs w:val="false"/>
          <w:sz w:val="22"/>
          <w:szCs w:val="22"/>
          <w:highlight w:val="yellow"/>
          <w:highlightCs w:val="yellow"/>
        </w:rPr>
        <w:t xml:space="preserve">[delivering it to you in person, leaving it at your home, sending it by first class post to your home, or sending it electronically to the address or number you gave us for communications about your home. Keep one.]</w:t>
      </w:r>
    </w:p>
    <w:p>
      <w:pPr>
        <w:keepNext/>
        <w:pBdr>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Date and time given: </w:t>
      </w:r>
      <w:r>
        <w:rPr>
          <w:rFonts w:ascii="Arial" w:cs="Arial" w:eastAsia="Arial" w:hAnsi="Arial"/>
          <w:b w:val="false"/>
          <w:bCs w:val="false"/>
          <w:sz w:val="22"/>
          <w:szCs w:val="22"/>
          <w:highlight w:val="yellow"/>
          <w:highlightCs w:val="yellow"/>
        </w:rPr>
        <w:t xml:space="preserve">[date and time]</w:t>
      </w:r>
    </w:p>
    <w:p>
      <w:pPr>
        <w:keepNext w:val="false"/>
        <w:pBdr>
          <w:bottom w:val="single" w:color="CFCABF" w:sz="6" w:space="6"/>
          <w:left w:val="single" w:color="CFCABF" w:sz="6" w:space="8"/>
          <w:right w:val="single" w:color="CFCABF" w:sz="6" w:space="8"/>
        </w:pBdr>
        <w:shd w:fill="F7F5F0" w:val="clear"/>
        <w:spacing w:before="0" w:after="100" w:line="300"/>
        <w:ind w:left="160" w:right="160"/>
      </w:pPr>
      <w:r>
        <w:rPr>
          <w:rFonts w:ascii="Arial" w:cs="Arial" w:eastAsia="Arial" w:hAnsi="Arial"/>
          <w:b w:val="false"/>
          <w:bCs w:val="false"/>
          <w:sz w:val="22"/>
          <w:szCs w:val="22"/>
        </w:rPr>
        <w:t xml:space="preserve">Given by: </w:t>
      </w:r>
      <w:r>
        <w:rPr>
          <w:rFonts w:ascii="Arial" w:cs="Arial" w:eastAsia="Arial" w:hAnsi="Arial"/>
          <w:b w:val="false"/>
          <w:bCs w:val="false"/>
          <w:sz w:val="22"/>
          <w:szCs w:val="22"/>
          <w:highlight w:val="yellow"/>
          <w:highlightCs w:val="yellow"/>
        </w:rPr>
        <w:t xml:space="preserve">[name]</w:t>
      </w:r>
    </w:p>
    <w:p>
      <w:pPr>
        <w:spacing w:after="160"/>
      </w:pPr>
    </w:p>
    <w:p>
      <w:pPr>
        <w:pStyle w:val="Heading2"/>
        <w:keepNext/>
        <w:spacing w:before="280" w:after="120"/>
      </w:pPr>
      <w:r>
        <w:rPr>
          <w:rFonts w:ascii="Times New Roman" w:cs="Times New Roman" w:eastAsia="Times New Roman" w:hAnsi="Times New Roman"/>
          <w:sz w:val="30"/>
          <w:szCs w:val="30"/>
        </w:rPr>
        <w:t xml:space="preserve">Points to check with your own legal team</w:t>
      </w:r>
    </w:p>
    <w:p>
      <w:pPr>
        <w:pStyle w:val="ListParagraph"/>
        <w:numPr>
          <w:ilvl w:val="0"/>
          <w:numId w:val="1"/>
        </w:numPr>
        <w:spacing w:after="80" w:line="300"/>
      </w:pPr>
      <w:r>
        <w:rPr>
          <w:rFonts w:ascii="Arial" w:cs="Arial" w:eastAsia="Arial" w:hAnsi="Arial"/>
          <w:b w:val="false"/>
          <w:bCs w:val="false"/>
          <w:sz w:val="22"/>
          <w:szCs w:val="22"/>
        </w:rPr>
        <w:t xml:space="preserve">Whether the template matches your own policies and the way you record investigations.</w:t>
      </w:r>
    </w:p>
    <w:p>
      <w:pPr>
        <w:pStyle w:val="ListParagraph"/>
        <w:numPr>
          <w:ilvl w:val="0"/>
          <w:numId w:val="1"/>
        </w:numPr>
        <w:spacing w:after="80" w:line="300"/>
      </w:pPr>
      <w:r>
        <w:rPr>
          <w:rFonts w:ascii="Arial" w:cs="Arial" w:eastAsia="Arial" w:hAnsi="Arial"/>
          <w:b w:val="false"/>
          <w:bCs w:val="false"/>
          <w:sz w:val="22"/>
          <w:szCs w:val="22"/>
        </w:rPr>
        <w:t xml:space="preserve">Whether your target timescales in section 3 are consistent with the Regulations that apply to the hazard and the date.</w:t>
      </w:r>
    </w:p>
    <w:p>
      <w:pPr>
        <w:pStyle w:val="ListParagraph"/>
        <w:numPr>
          <w:ilvl w:val="0"/>
          <w:numId w:val="1"/>
        </w:numPr>
        <w:spacing w:after="80" w:line="300"/>
      </w:pPr>
      <w:r>
        <w:rPr>
          <w:rFonts w:ascii="Arial" w:cs="Arial" w:eastAsia="Arial" w:hAnsi="Arial"/>
          <w:b w:val="false"/>
          <w:bCs w:val="false"/>
          <w:sz w:val="22"/>
          <w:szCs w:val="22"/>
        </w:rPr>
        <w:t xml:space="preserve">How you will record the time the document was given, since regulation 10 fixes it.</w:t>
      </w:r>
    </w:p>
    <w:p>
      <w:pPr>
        <w:pStyle w:val="ListParagraph"/>
        <w:numPr>
          <w:ilvl w:val="0"/>
          <w:numId w:val="1"/>
        </w:numPr>
        <w:spacing w:after="80" w:line="300"/>
      </w:pPr>
      <w:r>
        <w:rPr>
          <w:rFonts w:ascii="Arial" w:cs="Arial" w:eastAsia="Arial" w:hAnsi="Arial"/>
          <w:b w:val="false"/>
          <w:bCs w:val="false"/>
          <w:sz w:val="22"/>
          <w:szCs w:val="22"/>
        </w:rPr>
        <w:t xml:space="preserve">Where the Regulations as they apply from 30 November 2026 are made, whether anything in this template needs to change.</w:t>
      </w:r>
    </w:p>
    <w:p>
      <w:pPr>
        <w:spacing w:after="120" w:line="300"/>
      </w:pPr>
      <w:r>
        <w:rPr>
          <w:rFonts w:ascii="Arial" w:cs="Arial" w:eastAsia="Arial" w:hAnsi="Arial"/>
          <w:b w:val="false"/>
          <w:bCs w:val="false"/>
          <w:sz w:val="22"/>
          <w:szCs w:val="22"/>
        </w:rPr>
        <w:t xml:space="preserve">This page is general information, not legal advice. It covers regulation 9 and regulation 10 only. Check the Regulations before relying on any statement here.</w:t>
      </w:r>
    </w:p>
    <w:p>
      <w:pPr>
        <w:pStyle w:val="Heading2"/>
        <w:keepNext/>
        <w:spacing w:before="280" w:after="120"/>
      </w:pPr>
      <w:r>
        <w:rPr>
          <w:rFonts w:ascii="Times New Roman" w:cs="Times New Roman" w:eastAsia="Times New Roman" w:hAnsi="Times New Roman"/>
          <w:sz w:val="30"/>
          <w:szCs w:val="30"/>
        </w:rPr>
        <w:t xml:space="preserve">Sources</w:t>
      </w:r>
    </w:p>
    <w:p>
      <w:pPr>
        <w:spacing w:after="60"/>
      </w:pPr>
      <w:r>
        <w:rPr>
          <w:rFonts w:ascii="Arial" w:cs="Arial" w:eastAsia="Arial" w:hAnsi="Arial"/>
          <w:sz w:val="20"/>
          <w:szCs w:val="20"/>
        </w:rPr>
        <w:t xml:space="preserve">1. </w:t>
      </w:r>
      <w:hyperlink w:history="1" r:id="rId1ophsew9h8myjvqgi2dyb">
        <w:r>
          <w:rPr>
            <w:rFonts w:ascii="Arial" w:cs="Arial" w:eastAsia="Arial" w:hAnsi="Arial"/>
            <w:color w:val="067A72"/>
            <w:sz w:val="20"/>
            <w:szCs w:val="20"/>
            <w:u w:val="single"/>
          </w:rPr>
          <w:t xml:space="preserve">The Hazards in Social Housing (Prescribed Requirements) (England) Regulations 2025, regulation 9: written summary following investigation (legislation.gov.uk)</w:t>
        </w:r>
      </w:hyperlink>
    </w:p>
    <w:p>
      <w:pPr>
        <w:spacing w:after="60"/>
      </w:pPr>
      <w:r>
        <w:rPr>
          <w:rFonts w:ascii="Arial" w:cs="Arial" w:eastAsia="Arial" w:hAnsi="Arial"/>
          <w:sz w:val="20"/>
          <w:szCs w:val="20"/>
        </w:rPr>
        <w:t xml:space="preserve">2. </w:t>
      </w:r>
      <w:hyperlink w:history="1" r:id="rIdk6lpsq5sgngscwfd2vlba">
        <w:r>
          <w:rPr>
            <w:rFonts w:ascii="Arial" w:cs="Arial" w:eastAsia="Arial" w:hAnsi="Arial"/>
            <w:color w:val="067A72"/>
            <w:sz w:val="20"/>
            <w:szCs w:val="20"/>
            <w:u w:val="single"/>
          </w:rPr>
          <w:t xml:space="preserve">The Hazards in Social Housing (Prescribed Requirements) (England) Regulations 2025, regulation 10: giving of documents (legislation.gov.uk)</w:t>
        </w:r>
      </w:hyperlink>
    </w:p>
    <w:p>
      <w:pPr>
        <w:spacing w:after="60"/>
      </w:pPr>
      <w:r>
        <w:rPr>
          <w:rFonts w:ascii="Arial" w:cs="Arial" w:eastAsia="Arial" w:hAnsi="Arial"/>
          <w:sz w:val="20"/>
          <w:szCs w:val="20"/>
        </w:rPr>
        <w:t xml:space="preserve">3. </w:t>
      </w:r>
      <w:hyperlink w:history="1" r:id="rIdokfxnukmo0enezhr0ny3e">
        <w:r>
          <w:rPr>
            <w:rFonts w:ascii="Arial" w:cs="Arial" w:eastAsia="Arial" w:hAnsi="Arial"/>
            <w:color w:val="067A72"/>
            <w:sz w:val="20"/>
            <w:szCs w:val="20"/>
            <w:u w:val="single"/>
          </w:rPr>
          <w:t xml:space="preserve">The Hazards in Social Housing (Prescribed Requirements) (England) Regulations 2025, regulation 2: interpretation, including working day (legislation.gov.uk)</w:t>
        </w:r>
      </w:hyperlink>
    </w:p>
    <w:p>
      <w:pPr>
        <w:spacing w:after="60"/>
      </w:pPr>
      <w:r>
        <w:rPr>
          <w:rFonts w:ascii="Arial" w:cs="Arial" w:eastAsia="Arial" w:hAnsi="Arial"/>
          <w:sz w:val="20"/>
          <w:szCs w:val="20"/>
        </w:rPr>
        <w:t xml:space="preserve">4. </w:t>
      </w:r>
      <w:hyperlink w:history="1" r:id="rIdi3kmlhysbi14u78futkzc">
        <w:r>
          <w:rPr>
            <w:rFonts w:ascii="Arial" w:cs="Arial" w:eastAsia="Arial" w:hAnsi="Arial"/>
            <w:color w:val="067A72"/>
            <w:sz w:val="20"/>
            <w:szCs w:val="20"/>
            <w:u w:val="single"/>
          </w:rPr>
          <w:t xml:space="preserve">Regulations as they will apply from 30 November 2026 (GOV.UK PDF)</w:t>
        </w:r>
      </w:hyperlink>
    </w:p>
    <w:sectPr>
      <w:footerReference w:type="default" r:id="rId6"/>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3B4B4A"/>
        <w:sz w:val="16"/>
        <w:szCs w:val="16"/>
      </w:rPr>
      <w:t xml:space="preserve">Zaviira. Last reviewed 22 October 2026. General information, not legal advice. Check the primary source before relying on any statement. Page </w:t>
    </w:r>
    <w:r>
      <w:rPr>
        <w:rFonts w:ascii="Arial" w:cs="Arial" w:eastAsia="Arial" w:hAnsi="Arial"/>
        <w:color w:val="3B4B4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2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1ophsew9h8myjvqgi2dyb" Type="http://schemas.openxmlformats.org/officeDocument/2006/relationships/hyperlink" Target="https://www.legislation.gov.uk/uksi/2025/1042/regulation/9/made" TargetMode="External"/><Relationship Id="rIdk6lpsq5sgngscwfd2vlba" Type="http://schemas.openxmlformats.org/officeDocument/2006/relationships/hyperlink" Target="https://www.legislation.gov.uk/uksi/2025/1042/regulation/10/made" TargetMode="External"/><Relationship Id="rIdokfxnukmo0enezhr0ny3e" Type="http://schemas.openxmlformats.org/officeDocument/2006/relationships/hyperlink" Target="https://www.legislation.gov.uk/uksi/2025/1042/regulation/2/made" TargetMode="External"/><Relationship Id="rIdi3kmlhysbi14u78futkzc" Type="http://schemas.openxmlformats.org/officeDocument/2006/relationships/hyperlink" Target="https://assets.publishing.service.gov.uk/media/6a54d0862467584757371e07/Awaab_s_Law_Regulations_as_they_apply_from_30_November_2026.pdf"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summary for tenants: a template</dc:title>
  <dc:creator>Zaviira</dc:creator>
  <dc:description>Template for guidance. Check it with your own legal team before use.</dc:description>
  <cp:lastModifiedBy>Un-named</cp:lastModifiedBy>
  <cp:revision>1</cp:revision>
  <dcterms:created xsi:type="dcterms:W3CDTF">2026-10-22T09:54:33.401Z</dcterms:created>
  <dcterms:modified xsi:type="dcterms:W3CDTF">2026-10-22T09:54:33.401Z</dcterms:modified>
</cp:coreProperties>
</file>

<file path=docProps/custom.xml><?xml version="1.0" encoding="utf-8"?>
<Properties xmlns="http://schemas.openxmlformats.org/officeDocument/2006/custom-properties" xmlns:vt="http://schemas.openxmlformats.org/officeDocument/2006/docPropsVTypes"/>
</file>